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Title"/>
        <w:spacing w:after="100"/>
      </w:pPr>
      <w:r>
        <w:t xml:space="preserve">Kajian Sistem: e-Permit Eco-Tourism</w:t>
      </w:r>
    </w:p>
    <w:p>
      <w:pPr>
        <w:spacing w:after="60"/>
      </w:pPr>
      <w:r>
        <w:t xml:space="preserve">Jabatan Perhutanan Negeri Perak — D:\xampp82\htdocs\jpn\ecotourism</w:t>
      </w:r>
    </w:p>
    <w:p>
      <w:pPr>
        <w:spacing w:after="300"/>
      </w:pPr>
      <w:r>
        <w:t xml:space="preserve">Disediakan untuk: Nasry  |  Tarikh: 31 Julai 2026</w:t>
      </w:r>
    </w:p>
    <w:p>
      <w:pPr>
        <w:pStyle w:val="Heading1"/>
        <w:spacing w:after="150" w:before="300"/>
      </w:pPr>
      <w:r>
        <w:t xml:space="preserve">1. Tujuan</w:t>
      </w:r>
    </w:p>
    <w:p>
      <w:pPr>
        <w:spacing w:after="120"/>
      </w:pPr>
      <w:r>
        <w:t xml:space="preserve">Kajian ini merekodkan pemahaman terhadap kod sumber sistem tempahan/permohonan permit ekopelancongan di folder ini, sebagai rujukan sebelum sebarang kerja pembangunan atau pembaikan dijalankan.</w:t>
      </w:r>
    </w:p>
    <w:p>
      <w:pPr>
        <w:pStyle w:val="Heading1"/>
        <w:spacing w:after="150" w:before="300"/>
      </w:pPr>
      <w:r>
        <w:t xml:space="preserve">2. Ringkasan Sistem</w:t>
      </w:r>
    </w:p>
    <w:p>
      <w:pPr>
        <w:spacing w:after="120"/>
      </w:pPr>
      <w:r>
        <w:t xml:space="preserve">Sistem ini ialah portal awam “Sistem Eco-Tourism, Jabatan Perhutanan Negeri Perak” (tajuk disahkan dalam index.php) yang membolehkan orang awam memohon dan membayar permit untuk memasuki atau menggunakan kawasan hutan simpan, hutan lipur (rekreasi) dan gunung di bawah pentadbiran jabatan. Sambungan pangkalan data (config.php) menunjukkan nama pangkalan data zadmin_epermitmain dan zadmin_epermitutiliti, mengesahkan sistem ini dikenali secara dalaman sebagai “e-Permit”.</w:t>
      </w:r>
    </w:p>
    <w:p>
      <w:pPr>
        <w:spacing w:after="120"/>
      </w:pPr>
      <w:r>
        <w:t xml:space="preserve">Perkara penting: kod sumber ini sebenarnya gabungan DUA sistem berbeza dalam satu pangkalan kod — modul e-Permit ekopelancongan yang aktif digunakan (fail berawalan spa_), dan modul permohonan jawatan/HR (fail berawalan glo_, com_mainmenu.php) yang sudah tidak digunakan (“dead code”) tetapi masih kekal dalam repo. Ini menunjukkan aplikasi ini asalnya diklon daripada sistem SPA/HR lama.</w:t>
      </w:r>
    </w:p>
    <w:p>
      <w:pPr>
        <w:pStyle w:val="Heading1"/>
        <w:spacing w:after="150" w:before="300"/>
      </w:pPr>
      <w:r>
        <w:t xml:space="preserve">3. Struktur Modul</w:t>
      </w:r>
    </w:p>
    <w:tbl>
      <w:tblPr>
        <w:tblW w:type="dxa" w:w="9400"/>
        <w:tblBorders>
          <w:top w:val="single" w:color="auto" w:sz="4"/>
          <w:left w:val="single" w:color="auto" w:sz="4"/>
          <w:bottom w:val="single" w:color="auto" w:sz="4"/>
          <w:right w:val="single" w:color="auto" w:sz="4"/>
          <w:insideH w:val="single" w:color="auto" w:sz="4"/>
          <w:insideV w:val="single" w:color="auto" w:sz="4"/>
        </w:tblBorders>
      </w:tblPr>
      <w:tblGrid>
        <w:gridCol w:w="2600"/>
        <w:gridCol w:w="2600"/>
        <w:gridCol w:w="4200"/>
      </w:tblGrid>
      <w:tr>
        <w:tc>
          <w:tcPr>
            <w:tcW w:type="dxa" w:w="2600"/>
            <w:shd w:fill="1F4E3D" w:val="clear"/>
          </w:tcPr>
          <w:p>
            <w:r>
              <w:rPr>
                <w:b/>
                <w:bCs/>
                <w:color w:val="FFFFFF"/>
                <w:sz w:val="20"/>
                <w:szCs w:val="20"/>
              </w:rPr>
              <w:t xml:space="preserve">Kumpulan Fail</w:t>
            </w:r>
          </w:p>
        </w:tc>
        <w:tc>
          <w:tcPr>
            <w:tcW w:type="dxa" w:w="2600"/>
            <w:shd w:fill="1F4E3D" w:val="clear"/>
          </w:tcPr>
          <w:p>
            <w:r>
              <w:rPr>
                <w:b/>
                <w:bCs/>
                <w:color w:val="FFFFFF"/>
                <w:sz w:val="20"/>
                <w:szCs w:val="20"/>
              </w:rPr>
              <w:t xml:space="preserve">Status</w:t>
            </w:r>
          </w:p>
        </w:tc>
        <w:tc>
          <w:tcPr>
            <w:tcW w:type="dxa" w:w="4200"/>
            <w:shd w:fill="1F4E3D" w:val="clear"/>
          </w:tcPr>
          <w:p>
            <w:r>
              <w:rPr>
                <w:b/>
                <w:bCs/>
                <w:color w:val="FFFFFF"/>
                <w:sz w:val="20"/>
                <w:szCs w:val="20"/>
              </w:rPr>
              <w:t xml:space="preserve">Fungsi</w:t>
            </w:r>
          </w:p>
        </w:tc>
      </w:tr>
      <w:tr>
        <w:tc>
          <w:tcPr>
            <w:tcW w:type="dxa" w:w="2600"/>
          </w:tcPr>
          <w:p>
            <w:r>
              <w:rPr>
                <w:b w:val="false"/>
                <w:bCs w:val="false"/>
                <w:sz w:val="20"/>
                <w:szCs w:val="20"/>
              </w:rPr>
              <w:t xml:space="preserve">spa_*</w:t>
            </w:r>
          </w:p>
        </w:tc>
        <w:tc>
          <w:tcPr>
            <w:tcW w:type="dxa" w:w="2600"/>
          </w:tcPr>
          <w:p>
            <w:r>
              <w:rPr>
                <w:b w:val="false"/>
                <w:bCs w:val="false"/>
                <w:sz w:val="20"/>
                <w:szCs w:val="20"/>
              </w:rPr>
              <w:t xml:space="preserve">Aktif (portal sebenar)</w:t>
            </w:r>
          </w:p>
        </w:tc>
        <w:tc>
          <w:tcPr>
            <w:tcW w:type="dxa" w:w="4200"/>
          </w:tcPr>
          <w:p>
            <w:r>
              <w:rPr>
                <w:b w:val="false"/>
                <w:bCs w:val="false"/>
                <w:sz w:val="20"/>
                <w:szCs w:val="20"/>
              </w:rPr>
              <w:t xml:space="preserve">Pendaftaran, permohonan/tempahan permit, semakan status, cetak dokumen</w:t>
            </w:r>
          </w:p>
        </w:tc>
      </w:tr>
      <w:tr>
        <w:tc>
          <w:tcPr>
            <w:tcW w:type="dxa" w:w="2600"/>
          </w:tcPr>
          <w:p>
            <w:r>
              <w:rPr>
                <w:b w:val="false"/>
                <w:bCs w:val="false"/>
                <w:sz w:val="20"/>
                <w:szCs w:val="20"/>
              </w:rPr>
              <w:t xml:space="preserve">com_login.php, com_mainmenu.php</w:t>
            </w:r>
          </w:p>
        </w:tc>
        <w:tc>
          <w:tcPr>
            <w:tcW w:type="dxa" w:w="2600"/>
          </w:tcPr>
          <w:p>
            <w:r>
              <w:rPr>
                <w:b w:val="false"/>
                <w:bCs w:val="false"/>
                <w:sz w:val="20"/>
                <w:szCs w:val="20"/>
              </w:rPr>
              <w:t xml:space="preserve">Bercampur</w:t>
            </w:r>
          </w:p>
        </w:tc>
        <w:tc>
          <w:tcPr>
            <w:tcW w:type="dxa" w:w="4200"/>
          </w:tcPr>
          <w:p>
            <w:r>
              <w:rPr>
                <w:b w:val="false"/>
                <w:bCs w:val="false"/>
                <w:sz w:val="20"/>
                <w:szCs w:val="20"/>
              </w:rPr>
              <w:t xml:space="preserve">com_login.php ialah pengesahan log masuk sebenar; com_mainmenu.php ialah menu HR lama (tidak dipakai)</w:t>
            </w:r>
          </w:p>
        </w:tc>
      </w:tr>
      <w:tr>
        <w:tc>
          <w:tcPr>
            <w:tcW w:type="dxa" w:w="2600"/>
          </w:tcPr>
          <w:p>
            <w:r>
              <w:rPr>
                <w:b w:val="false"/>
                <w:bCs w:val="false"/>
                <w:sz w:val="20"/>
                <w:szCs w:val="20"/>
              </w:rPr>
              <w:t xml:space="preserve">glo_*</w:t>
            </w:r>
          </w:p>
        </w:tc>
        <w:tc>
          <w:tcPr>
            <w:tcW w:type="dxa" w:w="2600"/>
          </w:tcPr>
          <w:p>
            <w:r>
              <w:rPr>
                <w:b w:val="false"/>
                <w:bCs w:val="false"/>
                <w:sz w:val="20"/>
                <w:szCs w:val="20"/>
              </w:rPr>
              <w:t xml:space="preserve">Legacy / tidak dipakai</w:t>
            </w:r>
          </w:p>
        </w:tc>
        <w:tc>
          <w:tcPr>
            <w:tcW w:type="dxa" w:w="4200"/>
          </w:tcPr>
          <w:p>
            <w:r>
              <w:rPr>
                <w:b w:val="false"/>
                <w:bCs w:val="false"/>
                <w:sz w:val="20"/>
                <w:szCs w:val="20"/>
              </w:rPr>
              <w:t xml:space="preserve">Baki daripada sistem permohonan jawatan (HR) terdahulu</w:t>
            </w:r>
          </w:p>
        </w:tc>
      </w:tr>
      <w:tr>
        <w:tc>
          <w:tcPr>
            <w:tcW w:type="dxa" w:w="2600"/>
          </w:tcPr>
          <w:p>
            <w:r>
              <w:rPr>
                <w:b w:val="false"/>
                <w:bCs w:val="false"/>
                <w:sz w:val="20"/>
                <w:szCs w:val="20"/>
              </w:rPr>
              <w:t xml:space="preserve">epay/</w:t>
            </w:r>
          </w:p>
        </w:tc>
        <w:tc>
          <w:tcPr>
            <w:tcW w:type="dxa" w:w="2600"/>
          </w:tcPr>
          <w:p>
            <w:r>
              <w:rPr>
                <w:b w:val="false"/>
                <w:bCs w:val="false"/>
                <w:sz w:val="20"/>
                <w:szCs w:val="20"/>
              </w:rPr>
              <w:t xml:space="preserve">Aktif, sedang dibangunkan (staging)</w:t>
            </w:r>
          </w:p>
        </w:tc>
        <w:tc>
          <w:tcPr>
            <w:tcW w:type="dxa" w:w="4200"/>
          </w:tcPr>
          <w:p>
            <w:r>
              <w:rPr>
                <w:b w:val="false"/>
                <w:bCs w:val="false"/>
                <w:sz w:val="20"/>
                <w:szCs w:val="20"/>
              </w:rPr>
              <w:t xml:space="preserve">Modul pembayaran “Perak ePay” baharu</w:t>
            </w:r>
          </w:p>
        </w:tc>
      </w:tr>
      <w:tr>
        <w:tc>
          <w:tcPr>
            <w:tcW w:type="dxa" w:w="2600"/>
          </w:tcPr>
          <w:p>
            <w:r>
              <w:rPr>
                <w:b w:val="false"/>
                <w:bCs w:val="false"/>
                <w:sz w:val="20"/>
                <w:szCs w:val="20"/>
              </w:rPr>
              <w:t xml:space="preserve">fpx/</w:t>
            </w:r>
          </w:p>
        </w:tc>
        <w:tc>
          <w:tcPr>
            <w:tcW w:type="dxa" w:w="2600"/>
          </w:tcPr>
          <w:p>
            <w:r>
              <w:rPr>
                <w:b w:val="false"/>
                <w:bCs w:val="false"/>
                <w:sz w:val="20"/>
                <w:szCs w:val="20"/>
              </w:rPr>
              <w:t xml:space="preserve">Legacy, dalam peralihan</w:t>
            </w:r>
          </w:p>
        </w:tc>
        <w:tc>
          <w:tcPr>
            <w:tcW w:type="dxa" w:w="4200"/>
          </w:tcPr>
          <w:p>
            <w:r>
              <w:rPr>
                <w:b w:val="false"/>
                <w:bCs w:val="false"/>
                <w:sz w:val="20"/>
                <w:szCs w:val="20"/>
              </w:rPr>
              <w:t xml:space="preserve">Integrasi pembayaran FPX/JomPay lama, masih dirujuk oleh spa_semakan.php</w:t>
            </w:r>
          </w:p>
        </w:tc>
      </w:tr>
      <w:tr>
        <w:tc>
          <w:tcPr>
            <w:tcW w:type="dxa" w:w="2600"/>
          </w:tcPr>
          <w:p>
            <w:r>
              <w:rPr>
                <w:b w:val="false"/>
                <w:bCs w:val="false"/>
                <w:sz w:val="20"/>
                <w:szCs w:val="20"/>
              </w:rPr>
              <w:t xml:space="preserve">ktp_*</w:t>
            </w:r>
          </w:p>
        </w:tc>
        <w:tc>
          <w:tcPr>
            <w:tcW w:type="dxa" w:w="2600"/>
          </w:tcPr>
          <w:p>
            <w:r>
              <w:rPr>
                <w:b w:val="false"/>
                <w:bCs w:val="false"/>
                <w:sz w:val="20"/>
                <w:szCs w:val="20"/>
              </w:rPr>
              <w:t xml:space="preserve">Aktif (banyak versi bertarikh)</w:t>
            </w:r>
          </w:p>
        </w:tc>
        <w:tc>
          <w:tcPr>
            <w:tcW w:type="dxa" w:w="4200"/>
          </w:tcPr>
          <w:p>
            <w:r>
              <w:rPr>
                <w:b w:val="false"/>
                <w:bCs w:val="false"/>
                <w:sz w:val="20"/>
                <w:szCs w:val="20"/>
              </w:rPr>
              <w:t xml:space="preserve">Penjanaan dokumen permit + resit bayaran untuk cetakan</w:t>
            </w:r>
          </w:p>
        </w:tc>
      </w:tr>
      <w:tr>
        <w:tc>
          <w:tcPr>
            <w:tcW w:type="dxa" w:w="2600"/>
          </w:tcPr>
          <w:p>
            <w:r>
              <w:rPr>
                <w:b w:val="false"/>
                <w:bCs w:val="false"/>
                <w:sz w:val="20"/>
                <w:szCs w:val="20"/>
              </w:rPr>
              <w:t xml:space="preserve">db/</w:t>
            </w:r>
          </w:p>
        </w:tc>
        <w:tc>
          <w:tcPr>
            <w:tcW w:type="dxa" w:w="2600"/>
          </w:tcPr>
          <w:p>
            <w:r>
              <w:rPr>
                <w:b w:val="false"/>
                <w:bCs w:val="false"/>
                <w:sz w:val="20"/>
                <w:szCs w:val="20"/>
              </w:rPr>
              <w:t xml:space="preserve">Bercampur</w:t>
            </w:r>
          </w:p>
        </w:tc>
        <w:tc>
          <w:tcPr>
            <w:tcW w:type="dxa" w:w="4200"/>
          </w:tcPr>
          <w:p>
            <w:r>
              <w:rPr>
                <w:b w:val="false"/>
                <w:bCs w:val="false"/>
                <w:sz w:val="20"/>
                <w:szCs w:val="20"/>
              </w:rPr>
              <w:t xml:space="preserve">db/spa.php = sambungan mysqli sebenar (dipakai); db/rpa.php = sambungan mysql_pconnect lama (tidak dipakai)</w:t>
            </w:r>
          </w:p>
        </w:tc>
      </w:tr>
      <w:tr>
        <w:tc>
          <w:tcPr>
            <w:tcW w:type="dxa" w:w="2600"/>
          </w:tcPr>
          <w:p>
            <w:r>
              <w:rPr>
                <w:b w:val="false"/>
                <w:bCs w:val="false"/>
                <w:sz w:val="20"/>
                <w:szCs w:val="20"/>
              </w:rPr>
              <w:t xml:space="preserve">tcpdf/, pdf/, fonts/, src/ (jpgraph)</w:t>
            </w:r>
          </w:p>
        </w:tc>
        <w:tc>
          <w:tcPr>
            <w:tcW w:type="dxa" w:w="2600"/>
          </w:tcPr>
          <w:p>
            <w:r>
              <w:rPr>
                <w:b w:val="false"/>
                <w:bCs w:val="false"/>
                <w:sz w:val="20"/>
                <w:szCs w:val="20"/>
              </w:rPr>
              <w:t xml:space="preserve">Pustaka pihak ketiga</w:t>
            </w:r>
          </w:p>
        </w:tc>
        <w:tc>
          <w:tcPr>
            <w:tcW w:type="dxa" w:w="4200"/>
          </w:tcPr>
          <w:p>
            <w:r>
              <w:rPr>
                <w:b w:val="false"/>
                <w:bCs w:val="false"/>
                <w:sz w:val="20"/>
                <w:szCs w:val="20"/>
              </w:rPr>
              <w:t xml:space="preserve">Tidak mengandungi logik perniagaan</w:t>
            </w:r>
          </w:p>
        </w:tc>
      </w:tr>
    </w:tbl>
    <w:p>
      <w:pPr>
        <w:pStyle w:val="Heading1"/>
        <w:spacing w:after="150" w:before="300"/>
      </w:pPr>
      <w:r>
        <w:t xml:space="preserve">4. Aliran Pengguna (Tempahan Permit)</w:t>
      </w:r>
    </w:p>
    <w:p>
      <w:pPr>
        <w:pStyle w:val="ListParagraph"/>
        <w:numPr>
          <w:ilvl w:val="0"/>
          <w:numId w:val="2"/>
        </w:numPr>
        <w:spacing w:after="60"/>
      </w:pPr>
      <w:r>
        <w:t xml:space="preserve">Daftar akaun — spa_daftar.php: pemohon daftar No. KP, nama, kata laluan, soalan keselamatan, telefon &amp; alamat → disimpan ke jadual glo_pemohon (kredential) dan skv_indpohn (profil).</w:t>
      </w:r>
    </w:p>
    <w:p>
      <w:pPr>
        <w:pStyle w:val="ListParagraph"/>
        <w:numPr>
          <w:ilvl w:val="0"/>
          <w:numId w:val="2"/>
        </w:numPr>
        <w:spacing w:after="60"/>
      </w:pPr>
      <w:r>
        <w:t xml:space="preserve">Log masuk — com_login.php mengesahkan terhadap glo_pemohon, menyemak senarai hitam skv_snhitam, dan merekod log masuk ke glo_loguser.</w:t>
      </w:r>
    </w:p>
    <w:p>
      <w:pPr>
        <w:pStyle w:val="ListParagraph"/>
        <w:numPr>
          <w:ilvl w:val="0"/>
          <w:numId w:val="2"/>
        </w:numPr>
        <w:spacing w:after="60"/>
      </w:pPr>
      <w:r>
        <w:t xml:space="preserve">Mohon/Tempah — spa_daftrgun.php (permit masuk hutan simpan/gunung, termasuk permit pekerja kontrak) atau spa_daftrsem.php (tempahan kemudahan hutan lipur/chalet) → rekod disimpan ke jadual pusat skv_rekodct.</w:t>
      </w:r>
    </w:p>
    <w:p>
      <w:pPr>
        <w:pStyle w:val="ListParagraph"/>
        <w:numPr>
          <w:ilvl w:val="0"/>
          <w:numId w:val="2"/>
        </w:numPr>
        <w:spacing w:after="60"/>
      </w:pPr>
      <w:r>
        <w:t xml:space="preserve">Bayar — melalui fpx/ (JomPay/FPX, lama) atau epay/ (Perak ePay, baharu, masih staging).</w:t>
      </w:r>
    </w:p>
    <w:p>
      <w:pPr>
        <w:pStyle w:val="ListParagraph"/>
        <w:numPr>
          <w:ilvl w:val="0"/>
          <w:numId w:val="2"/>
        </w:numPr>
        <w:spacing w:after="60"/>
      </w:pPr>
      <w:r>
        <w:t xml:space="preserve">Semak status &amp; cetak — spa_semakan.php / spa_status2.php papar status (mohon/bayar/permit/gagal); ktp_cetakrt.php menjana dokumen permit + resit untuk dicetak.</w:t>
      </w:r>
    </w:p>
    <w:p>
      <w:pPr>
        <w:pStyle w:val="Heading1"/>
        <w:spacing w:after="150" w:before="300"/>
      </w:pPr>
      <w:r>
        <w:t xml:space="preserve">5. Integrasi Pembayaran</w:t>
      </w:r>
    </w:p>
    <w:p>
      <w:pPr>
        <w:pStyle w:val="Heading2"/>
        <w:spacing w:after="100" w:before="200"/>
      </w:pPr>
      <w:r>
        <w:t xml:space="preserve">5.1 fpx/ (Legacy)</w:t>
      </w:r>
    </w:p>
    <w:p>
      <w:pPr>
        <w:spacing w:after="120"/>
      </w:pPr>
      <w:r>
        <w:t xml:space="preserve">Integrasi FPX/JomPay lama (mainPaymentPage.php) dengan rutin check-digit gaya JomPay. Masih dirujuk oleh butang di spa_semakan.php, jadi belum dibuang sepenuhnya walaupun sedang digantikan.</w:t>
      </w:r>
    </w:p>
    <w:p>
      <w:pPr>
        <w:pStyle w:val="Heading2"/>
        <w:spacing w:after="100" w:before="200"/>
      </w:pPr>
      <w:r>
        <w:t xml:space="preserve">5.2 epay/ (Perak ePay — baharu, belum lengkap)</w:t>
      </w:r>
    </w:p>
    <w:p>
      <w:pPr>
        <w:spacing w:after="120"/>
      </w:pPr>
      <w:r>
        <w:t xml:space="preserve">Alur: epay/index.php papar ringkasan bil bagi satu rekid (skv_rekodct.rek_cutiid) → run.php membina payload (epay/functions.php, epay_build_payload) dan POST ke https://dev-epay.perak.gov.my/api/run → pengguna dialihkan ke laman pembayaran ePay → return.php dan callback.php pada masa ini hanya mencatat log respons/IPN — pemetaan status balik ke skv_rekodct/ktp_bayaran DISAHKAN BELUM DILAKSANAKAN dalam epay/README.md.</w:t>
      </w:r>
    </w:p>
    <w:p>
      <w:pPr>
        <w:spacing w:after="120"/>
      </w:pPr>
      <w:r>
        <w:t xml:space="preserve">sellerid: config.php menyimpan b2c_sellerId/b2b_sellerId lalai; ID jual sebenar diselesaikan mengikut pejabat daerah daripada glo_pjbtkod.pjb_b2c/pjb_b2b. Migresi migration_epay_sellerid_20260706.sql mengisi ID jual bagi 6 pejabat daerah (TP, HP, IB, TG, KK, BG).</w:t>
      </w:r>
    </w:p>
    <w:p>
      <w:pPr>
        <w:spacing w:after="120"/>
      </w:pPr>
      <w:r>
        <w:t xml:space="preserve">kodhasil (kod hasil kewangan kerajaan): setiap item bil menggunakan sak_kodhasil daripada glo_transak → glo_hasilkod.hsl_kodkewa, dengan config.php sebagai sandaran. Migresi migration_epay_multi_kodhasil_20260706.sql menambah lajur sak_kodhasil pada glo_transak (nilai lalai 6) bagi menyokong satu bil dipecah kepada pelbagai kod hasil (mod pengebilan berbilang baris, fid=5).</w:t>
      </w:r>
    </w:p>
    <w:p>
      <w:pPr>
        <w:pStyle w:val="Heading1"/>
        <w:spacing w:after="150" w:before="300"/>
      </w:pPr>
      <w:r>
        <w:t xml:space="preserve">6. Struktur Pangkalan Data (Jadual Utama)</w:t>
      </w:r>
    </w:p>
    <w:tbl>
      <w:tblPr>
        <w:tblW w:type="dxa" w:w="9400"/>
        <w:tblBorders>
          <w:top w:val="single" w:color="auto" w:sz="4"/>
          <w:left w:val="single" w:color="auto" w:sz="4"/>
          <w:bottom w:val="single" w:color="auto" w:sz="4"/>
          <w:right w:val="single" w:color="auto" w:sz="4"/>
          <w:insideH w:val="single" w:color="auto" w:sz="4"/>
          <w:insideV w:val="single" w:color="auto" w:sz="4"/>
        </w:tblBorders>
      </w:tblPr>
      <w:tblGrid>
        <w:gridCol w:w="2200"/>
        <w:gridCol w:w="4200"/>
        <w:gridCol w:w="3000"/>
      </w:tblGrid>
      <w:tr>
        <w:tc>
          <w:tcPr>
            <w:tcW w:type="dxa" w:w="2200"/>
            <w:shd w:fill="1F4E3D" w:val="clear"/>
          </w:tcPr>
          <w:p>
            <w:r>
              <w:rPr>
                <w:b/>
                <w:bCs/>
                <w:color w:val="FFFFFF"/>
                <w:sz w:val="20"/>
                <w:szCs w:val="20"/>
              </w:rPr>
              <w:t xml:space="preserve">Kategori</w:t>
            </w:r>
          </w:p>
        </w:tc>
        <w:tc>
          <w:tcPr>
            <w:tcW w:type="dxa" w:w="4200"/>
            <w:shd w:fill="1F4E3D" w:val="clear"/>
          </w:tcPr>
          <w:p>
            <w:r>
              <w:rPr>
                <w:b/>
                <w:bCs/>
                <w:color w:val="FFFFFF"/>
                <w:sz w:val="20"/>
                <w:szCs w:val="20"/>
              </w:rPr>
              <w:t xml:space="preserve">Jadual</w:t>
            </w:r>
          </w:p>
        </w:tc>
        <w:tc>
          <w:tcPr>
            <w:tcW w:type="dxa" w:w="3000"/>
            <w:shd w:fill="1F4E3D" w:val="clear"/>
          </w:tcPr>
          <w:p>
            <w:r>
              <w:rPr>
                <w:b/>
                <w:bCs/>
                <w:color w:val="FFFFFF"/>
                <w:sz w:val="20"/>
                <w:szCs w:val="20"/>
              </w:rPr>
              <w:t xml:space="preserve">Nota</w:t>
            </w:r>
          </w:p>
        </w:tc>
      </w:tr>
      <w:tr>
        <w:tc>
          <w:tcPr>
            <w:tcW w:type="dxa" w:w="2200"/>
          </w:tcPr>
          <w:p>
            <w:r>
              <w:rPr>
                <w:b w:val="false"/>
                <w:bCs w:val="false"/>
                <w:sz w:val="20"/>
                <w:szCs w:val="20"/>
              </w:rPr>
              <w:t xml:space="preserve">Pengguna/Pemohon</w:t>
            </w:r>
          </w:p>
        </w:tc>
        <w:tc>
          <w:tcPr>
            <w:tcW w:type="dxa" w:w="4200"/>
          </w:tcPr>
          <w:p>
            <w:r>
              <w:rPr>
                <w:b w:val="false"/>
                <w:bCs w:val="false"/>
                <w:sz w:val="20"/>
                <w:szCs w:val="20"/>
              </w:rPr>
              <w:t xml:space="preserve">glo_pemohon, skv_indpohn, skv_snhitam, glo_loguser</w:t>
            </w:r>
          </w:p>
        </w:tc>
        <w:tc>
          <w:tcPr>
            <w:tcW w:type="dxa" w:w="3000"/>
          </w:tcPr>
          <w:p>
            <w:r>
              <w:rPr>
                <w:b w:val="false"/>
                <w:bCs w:val="false"/>
                <w:sz w:val="20"/>
                <w:szCs w:val="20"/>
              </w:rPr>
              <w:t xml:space="preserve">Log masuk, profil, senarai hitam, log akses</w:t>
            </w:r>
          </w:p>
        </w:tc>
      </w:tr>
      <w:tr>
        <w:tc>
          <w:tcPr>
            <w:tcW w:type="dxa" w:w="2200"/>
          </w:tcPr>
          <w:p>
            <w:r>
              <w:rPr>
                <w:b w:val="false"/>
                <w:bCs w:val="false"/>
                <w:sz w:val="20"/>
                <w:szCs w:val="20"/>
              </w:rPr>
              <w:t xml:space="preserve">Tempahan/Permit (teras)</w:t>
            </w:r>
          </w:p>
        </w:tc>
        <w:tc>
          <w:tcPr>
            <w:tcW w:type="dxa" w:w="4200"/>
          </w:tcPr>
          <w:p>
            <w:r>
              <w:rPr>
                <w:b w:val="false"/>
                <w:bCs w:val="false"/>
                <w:sz w:val="20"/>
                <w:szCs w:val="20"/>
              </w:rPr>
              <w:t xml:space="preserve">skv_rekodct, glo_htankod, glo_hgunkod, glo_hsimkod, glo_pjbtkod, glo_katgkod, skv_kemudahan, skv_permit</w:t>
            </w:r>
          </w:p>
        </w:tc>
        <w:tc>
          <w:tcPr>
            <w:tcW w:type="dxa" w:w="3000"/>
          </w:tcPr>
          <w:p>
            <w:r>
              <w:rPr>
                <w:b w:val="false"/>
                <w:bCs w:val="false"/>
                <w:sz w:val="20"/>
                <w:szCs w:val="20"/>
              </w:rPr>
              <w:t xml:space="preserve">skv_rekodct ialah rekod permohonan/tempahan pusat</w:t>
            </w:r>
          </w:p>
        </w:tc>
      </w:tr>
      <w:tr>
        <w:tc>
          <w:tcPr>
            <w:tcW w:type="dxa" w:w="2200"/>
          </w:tcPr>
          <w:p>
            <w:r>
              <w:rPr>
                <w:b w:val="false"/>
                <w:bCs w:val="false"/>
                <w:sz w:val="20"/>
                <w:szCs w:val="20"/>
              </w:rPr>
              <w:t xml:space="preserve">Pembayaran</w:t>
            </w:r>
          </w:p>
        </w:tc>
        <w:tc>
          <w:tcPr>
            <w:tcW w:type="dxa" w:w="4200"/>
          </w:tcPr>
          <w:p>
            <w:r>
              <w:rPr>
                <w:b w:val="false"/>
                <w:bCs w:val="false"/>
                <w:sz w:val="20"/>
                <w:szCs w:val="20"/>
              </w:rPr>
              <w:t xml:space="preserve">ktp_bayaran, ktp_detbayr, ktp_cbyrkod, glo_transak, glo_hasilkod</w:t>
            </w:r>
          </w:p>
        </w:tc>
        <w:tc>
          <w:tcPr>
            <w:tcW w:type="dxa" w:w="3000"/>
          </w:tcPr>
          <w:p>
            <w:r>
              <w:rPr>
                <w:b w:val="false"/>
                <w:bCs w:val="false"/>
                <w:sz w:val="20"/>
                <w:szCs w:val="20"/>
              </w:rPr>
              <w:t xml:space="preserve">Header/detail bayaran, kod kaedah bayar, kod hasil</w:t>
            </w:r>
          </w:p>
        </w:tc>
      </w:tr>
      <w:tr>
        <w:tc>
          <w:tcPr>
            <w:tcW w:type="dxa" w:w="2200"/>
          </w:tcPr>
          <w:p>
            <w:r>
              <w:rPr>
                <w:b w:val="false"/>
                <w:bCs w:val="false"/>
                <w:sz w:val="20"/>
                <w:szCs w:val="20"/>
              </w:rPr>
              <w:t xml:space="preserve">Sistem/Utiliti</w:t>
            </w:r>
          </w:p>
        </w:tc>
        <w:tc>
          <w:tcPr>
            <w:tcW w:type="dxa" w:w="4200"/>
          </w:tcPr>
          <w:p>
            <w:r>
              <w:rPr>
                <w:b w:val="false"/>
                <w:bCs w:val="false"/>
                <w:sz w:val="20"/>
                <w:szCs w:val="20"/>
              </w:rPr>
              <w:t xml:space="preserve">glo_sistemkod, glo_paparan, glo_info, glo_log, glo_sendsms, glo_aduanpe</w:t>
            </w:r>
          </w:p>
        </w:tc>
        <w:tc>
          <w:tcPr>
            <w:tcW w:type="dxa" w:w="3000"/>
          </w:tcPr>
          <w:p>
            <w:r>
              <w:rPr>
                <w:b w:val="false"/>
                <w:bCs w:val="false"/>
                <w:sz w:val="20"/>
                <w:szCs w:val="20"/>
              </w:rPr>
              <w:t xml:space="preserve">Konfigurasi, log, SMS, aduan</w:t>
            </w:r>
          </w:p>
        </w:tc>
      </w:tr>
      <w:tr>
        <w:tc>
          <w:tcPr>
            <w:tcW w:type="dxa" w:w="2200"/>
          </w:tcPr>
          <w:p>
            <w:r>
              <w:rPr>
                <w:b w:val="false"/>
                <w:bCs w:val="false"/>
                <w:sz w:val="20"/>
                <w:szCs w:val="20"/>
              </w:rPr>
              <w:t xml:space="preserve">Baki HR (tidak dipakai)</w:t>
            </w:r>
          </w:p>
        </w:tc>
        <w:tc>
          <w:tcPr>
            <w:tcW w:type="dxa" w:w="4200"/>
          </w:tcPr>
          <w:p>
            <w:r>
              <w:rPr>
                <w:b w:val="false"/>
                <w:bCs w:val="false"/>
                <w:sz w:val="20"/>
                <w:szCs w:val="20"/>
              </w:rPr>
              <w:t xml:space="preserve">skv_jwtpohn, skv_ssiklan, skv_iklnjwt, skv_gajikod, skv_klykrdh/tgh/tgi, dll.</w:t>
            </w:r>
          </w:p>
        </w:tc>
        <w:tc>
          <w:tcPr>
            <w:tcW w:type="dxa" w:w="3000"/>
          </w:tcPr>
          <w:p>
            <w:r>
              <w:rPr>
                <w:b w:val="false"/>
                <w:bCs w:val="false"/>
                <w:sz w:val="20"/>
                <w:szCs w:val="20"/>
              </w:rPr>
              <w:t xml:space="preserve">~15 jadual berkaitan permohonan jawatan, tidak digunakan oleh alur ekopelancongan</w:t>
            </w:r>
          </w:p>
        </w:tc>
      </w:tr>
    </w:tbl>
    <w:p>
      <w:pPr>
        <w:spacing w:after="120"/>
      </w:pPr>
      <w:r>
        <w:t xml:space="preserve">Sambungan: db/spa.php (mysqli, digunakan secara aktif) menyambung ke root@localhost tanpa kata laluan bagi kedua-dua pangkalan data zadmin_epermitmain dan zadmin_epermitutiliti. db/rpa.php ialah fail lama (mysql_pconnect, API PHP yang sudah lapuk) dan tidak dipakai oleh aplikasi semasa.</w:t>
      </w:r>
    </w:p>
    <w:p>
      <w:pPr>
        <w:pStyle w:val="Heading1"/>
        <w:spacing w:after="150" w:before="300"/>
      </w:pPr>
      <w:r>
        <w:t xml:space="preserve">7. Penjanaan Dokumen</w:t>
      </w:r>
    </w:p>
    <w:p>
      <w:pPr>
        <w:spacing w:after="120"/>
      </w:pPr>
      <w:r>
        <w:t xml:space="preserve">ktp_cetakrt.php (dan beberapa varian bertarikh) menjana satu halaman HTML boleh cetak bertajuk “Dokumen PERMIT” yang menggabungkan permit kemasukan dan resit bayaran (RESIT BAYARAN PERMIT), diambil daripada skv_rekodct + ktp_bayaran/ktp_detbayr. Tiada penggunaan pustaka TCPDF dikesan pada fail ini — output ialah HTML bergaya (dengan aturan CSS @page) untuk dicetak/disimpan sebagai PDF oleh pelayar, bukan PDF dijana pelayan. Folder pdf/ hanya mengandungi dua PDF notis statik yang tidak berkaitan.</w:t>
      </w:r>
    </w:p>
    <w:p>
      <w:pPr>
        <w:pStyle w:val="Heading1"/>
        <w:spacing w:after="150" w:before="300"/>
      </w:pPr>
      <w:r>
        <w:t xml:space="preserve">8. Sisa Warisan (Legacy) — Perlu Diambil Perhatian</w:t>
      </w:r>
    </w:p>
    <w:p>
      <w:pPr>
        <w:pStyle w:val="ListParagraph"/>
        <w:numPr>
          <w:ilvl w:val="0"/>
          <w:numId w:val="2"/>
        </w:numPr>
        <w:spacing w:after="60"/>
      </w:pPr>
      <w:r>
        <w:t xml:space="preserve">Banyak varian fail bertarikh bagi fungsi yang sama, contohnya ktp_cetakrt.php mempunyai 6 versi (ktp_cetakrt2.php, ktp_cetakrt2ori.php, ktp_cetakrtori.php, ktp_cetakrtori-01062023.php, dll.); spa_daftrgun.php turut mempunyai beberapa versi “-ori” dan bertarikh.</w:t>
      </w:r>
    </w:p>
    <w:p>
      <w:pPr>
        <w:pStyle w:val="ListParagraph"/>
        <w:numPr>
          <w:ilvl w:val="0"/>
          <w:numId w:val="2"/>
        </w:numPr>
        <w:spacing w:after="60"/>
      </w:pPr>
      <w:r>
        <w:t xml:space="preserve">Fail bertanda “Copy” (glo_home - Copy.php, menu_maindown - Copy.php) dan bertanda “sasa” (kemungkinan penanda ujian pemaju) — index2sasa.php, indexsasa.php, spa_daftrsemsasa.php, glo_homesa.php.</w:t>
      </w:r>
    </w:p>
    <w:p>
      <w:pPr>
        <w:pStyle w:val="ListParagraph"/>
        <w:numPr>
          <w:ilvl w:val="0"/>
          <w:numId w:val="2"/>
        </w:numPr>
        <w:spacing w:after="60"/>
      </w:pPr>
      <w:r>
        <w:t xml:space="preserve">Dua sambungan pangkalan data berbeza gaya wujud serentak (mysqli aktif vs mysql_pconnect lapuk yang sudah tidak dipakai).</w:t>
      </w:r>
    </w:p>
    <w:p>
      <w:pPr>
        <w:pStyle w:val="ListParagraph"/>
        <w:numPr>
          <w:ilvl w:val="0"/>
          <w:numId w:val="2"/>
        </w:numPr>
        <w:spacing w:after="60"/>
      </w:pPr>
      <w:r>
        <w:t xml:space="preserve">Modul epay/ masih di peringkat staging — pemetaan status bayaran balik ke rekod tempahan belum dilaksanakan sepenuhnya; fpx/ lama masih hidup sebagai laluan sandaran.</w:t>
      </w:r>
    </w:p>
    <w:p>
      <w:pPr>
        <w:pStyle w:val="ListParagraph"/>
        <w:numPr>
          <w:ilvl w:val="0"/>
          <w:numId w:val="2"/>
        </w:numPr>
        <w:spacing w:after="60"/>
      </w:pPr>
      <w:r>
        <w:t xml:space="preserve">Kod HR/permohonan jawatan (glo_*, com_mainmenu.php, ~15 jadual) tidak lagi relevan kepada fungsi ekopelancongan tetapi masih wujud dalam repo — berpotensi mengelirukan semasa penyelenggaraan jika tidak disedari.</w:t>
      </w:r>
    </w:p>
    <w:p>
      <w:pPr>
        <w:pStyle w:val="Heading1"/>
        <w:spacing w:after="150" w:before="300"/>
      </w:pPr>
      <w:r>
        <w:t xml:space="preserve">9. Kesimpulan</w:t>
      </w:r>
    </w:p>
    <w:p>
      <w:pPr>
        <w:spacing w:after="120"/>
      </w:pPr>
      <w:r>
        <w:t xml:space="preserve">Sistem ini ialah portal permohonan &amp; tempahan permit ekopelancongan (e-Permit) bagi Jabatan Perhutanan Negeri Perak, dengan alur teras: daftar → log masuk → mohon/tempah permit (hutan simpan/gunung/hutan lipur) → bayar (FPX lama atau ePay baharu) → semak status → cetak dokumen permit &amp; resit. Kod sumber mengandungi banyak sisa warisan (kod HR tidak dipakai, pelbagai versi fail bertarikh) dan satu modul pembayaran baharu (epay) yang belum lengkap dari segi pemetaan status balik ke rekod tempahan.</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20" w:hanging="2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2026-07-31T03:32:59.505Z</dcterms:created>
  <dcterms:modified xsi:type="dcterms:W3CDTF">2026-07-31T03:32:59.505Z</dcterms:modified>
</cp:coreProperties>
</file>

<file path=docProps/custom.xml><?xml version="1.0" encoding="utf-8"?>
<Properties xmlns="http://schemas.openxmlformats.org/officeDocument/2006/custom-properties" xmlns:vt="http://schemas.openxmlformats.org/officeDocument/2006/docPropsVTypes"/>
</file>